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E9" w:rsidRPr="00597B70" w:rsidRDefault="00E75BE9">
      <w:pPr>
        <w:pStyle w:val="ConsPlusNormal"/>
        <w:jc w:val="both"/>
      </w:pPr>
    </w:p>
    <w:p w:rsidR="00E75BE9" w:rsidRPr="00597B70" w:rsidRDefault="00E75BE9">
      <w:pPr>
        <w:pStyle w:val="ConsPlusTitle"/>
        <w:jc w:val="center"/>
      </w:pPr>
      <w:r w:rsidRPr="00597B70">
        <w:t>ПРАВИТЕЛЬСТВО РОССИЙСКОЙ ФЕДЕРАЦИИ</w:t>
      </w:r>
    </w:p>
    <w:p w:rsidR="00E75BE9" w:rsidRPr="00597B70" w:rsidRDefault="00E75BE9">
      <w:pPr>
        <w:pStyle w:val="ConsPlusTitle"/>
        <w:jc w:val="center"/>
      </w:pPr>
    </w:p>
    <w:p w:rsidR="00E75BE9" w:rsidRPr="00597B70" w:rsidRDefault="00E75BE9">
      <w:pPr>
        <w:pStyle w:val="ConsPlusTitle"/>
        <w:jc w:val="center"/>
      </w:pPr>
      <w:r w:rsidRPr="00597B70">
        <w:t>РАСПОРЯЖЕНИЕ</w:t>
      </w:r>
    </w:p>
    <w:p w:rsidR="00E75BE9" w:rsidRPr="00597B70" w:rsidRDefault="00E75BE9">
      <w:pPr>
        <w:pStyle w:val="ConsPlusTitle"/>
        <w:jc w:val="center"/>
      </w:pPr>
      <w:r w:rsidRPr="00597B70">
        <w:t>от 29 ноября 2014 г. N 2403-р</w:t>
      </w: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1. Утвердить прилагаемые </w:t>
      </w:r>
      <w:hyperlink w:anchor="P29" w:history="1">
        <w:r w:rsidRPr="00597B70">
          <w:t>Основы</w:t>
        </w:r>
      </w:hyperlink>
      <w:r w:rsidRPr="00597B70">
        <w:t xml:space="preserve"> государственной молодежной политики Российской Федерации на период до 2025 года.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2. </w:t>
      </w:r>
      <w:proofErr w:type="spellStart"/>
      <w:r w:rsidRPr="00597B70">
        <w:t>Минобрнауки</w:t>
      </w:r>
      <w:proofErr w:type="spellEnd"/>
      <w:r w:rsidRPr="00597B70">
        <w:t xml:space="preserve">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</w:t>
      </w:r>
      <w:hyperlink w:anchor="P29" w:history="1">
        <w:r w:rsidRPr="00597B70">
          <w:t>Основ</w:t>
        </w:r>
      </w:hyperlink>
      <w:r w:rsidRPr="00597B70">
        <w:t xml:space="preserve"> государственной молодежной политики Российской Федерации на период до 2025 года.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3. </w:t>
      </w:r>
      <w:proofErr w:type="spellStart"/>
      <w:r w:rsidRPr="00597B70">
        <w:t>Минобрнауки</w:t>
      </w:r>
      <w:proofErr w:type="spellEnd"/>
      <w:r w:rsidRPr="00597B70">
        <w:t xml:space="preserve"> России совместно с заинтересованными федеральными органами исполнительной власти обеспечить реализацию </w:t>
      </w:r>
      <w:hyperlink w:anchor="P29" w:history="1">
        <w:r w:rsidRPr="00597B70">
          <w:t>Основ</w:t>
        </w:r>
      </w:hyperlink>
      <w:r w:rsidRPr="00597B70">
        <w:t xml:space="preserve"> государственной молодежной политики Российской Федерации на период до 2025 года.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</w:t>
      </w:r>
      <w:bookmarkStart w:id="0" w:name="_GoBack"/>
      <w:bookmarkEnd w:id="0"/>
      <w:r w:rsidRPr="00597B70">
        <w:t xml:space="preserve">ей и молодежи учитывать положения </w:t>
      </w:r>
      <w:hyperlink w:anchor="P29" w:history="1">
        <w:r w:rsidRPr="00597B70">
          <w:t>Основ</w:t>
        </w:r>
      </w:hyperlink>
      <w:r w:rsidRPr="00597B70">
        <w:t xml:space="preserve"> государственной молодежной политики Российской Федерации на период до 2025 года.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5. Признать утратившими силу:</w:t>
      </w:r>
    </w:p>
    <w:p w:rsidR="00E75BE9" w:rsidRPr="00597B70" w:rsidRDefault="00597B70">
      <w:pPr>
        <w:pStyle w:val="ConsPlusNormal"/>
        <w:ind w:firstLine="540"/>
        <w:jc w:val="both"/>
      </w:pPr>
      <w:hyperlink r:id="rId4" w:history="1">
        <w:r w:rsidR="00E75BE9" w:rsidRPr="00597B70">
          <w:t>распоряжение</w:t>
        </w:r>
      </w:hyperlink>
      <w:r w:rsidR="00E75BE9" w:rsidRPr="00597B70">
        <w:t xml:space="preserve"> Правительства Российской Федерации от 18 декабря 2006 г. N 1760-р (Собрание законодательства Российской Федерации, 2006, N 52, ст. 5622);</w:t>
      </w:r>
    </w:p>
    <w:p w:rsidR="00E75BE9" w:rsidRPr="00597B70" w:rsidRDefault="00597B70">
      <w:pPr>
        <w:pStyle w:val="ConsPlusNormal"/>
        <w:ind w:firstLine="540"/>
        <w:jc w:val="both"/>
      </w:pPr>
      <w:hyperlink r:id="rId5" w:history="1">
        <w:r w:rsidR="00E75BE9" w:rsidRPr="00597B70">
          <w:t>распоряжение</w:t>
        </w:r>
      </w:hyperlink>
      <w:r w:rsidR="00E75BE9" w:rsidRPr="00597B70">
        <w:t xml:space="preserve"> Правительства Российской Федерации от 12 марта 2008 г. N 301-р (Собрание законодательства Российской Федерации, 2008, N 11, ст. 1059);</w:t>
      </w:r>
    </w:p>
    <w:p w:rsidR="00E75BE9" w:rsidRPr="00597B70" w:rsidRDefault="00597B70">
      <w:pPr>
        <w:pStyle w:val="ConsPlusNormal"/>
        <w:ind w:firstLine="540"/>
        <w:jc w:val="both"/>
      </w:pPr>
      <w:hyperlink r:id="rId6" w:history="1">
        <w:r w:rsidR="00E75BE9" w:rsidRPr="00597B70">
          <w:t>распоряжение</w:t>
        </w:r>
      </w:hyperlink>
      <w:r w:rsidR="00E75BE9" w:rsidRPr="00597B70">
        <w:t xml:space="preserve"> Правительства Российской Федерации от 28 февраля 2009 г. N 251-р (Собрание законодательства Российской Федерации, 2009, N 10, ст. 1257);</w:t>
      </w:r>
    </w:p>
    <w:p w:rsidR="00E75BE9" w:rsidRPr="00597B70" w:rsidRDefault="00597B70">
      <w:pPr>
        <w:pStyle w:val="ConsPlusNormal"/>
        <w:ind w:firstLine="540"/>
        <w:jc w:val="both"/>
      </w:pPr>
      <w:hyperlink r:id="rId7" w:history="1">
        <w:r w:rsidR="00E75BE9" w:rsidRPr="00597B70">
          <w:t>распоряжение</w:t>
        </w:r>
      </w:hyperlink>
      <w:r w:rsidR="00E75BE9" w:rsidRPr="00597B70">
        <w:t xml:space="preserve"> Правительства Российской Федерации от 16 июля 2009 г. N 997-р (Собрание законодательства Российской Федерации, 2009, N 29, ст. 3730).</w:t>
      </w: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jc w:val="right"/>
      </w:pPr>
      <w:r w:rsidRPr="00597B70">
        <w:t>Председатель Правительства</w:t>
      </w:r>
    </w:p>
    <w:p w:rsidR="00E75BE9" w:rsidRPr="00597B70" w:rsidRDefault="00E75BE9">
      <w:pPr>
        <w:pStyle w:val="ConsPlusNormal"/>
        <w:jc w:val="right"/>
      </w:pPr>
      <w:r w:rsidRPr="00597B70">
        <w:t>Российской Федерации</w:t>
      </w:r>
    </w:p>
    <w:p w:rsidR="00E75BE9" w:rsidRPr="00597B70" w:rsidRDefault="00E75BE9">
      <w:pPr>
        <w:pStyle w:val="ConsPlusNormal"/>
        <w:jc w:val="right"/>
      </w:pPr>
      <w:r w:rsidRPr="00597B70">
        <w:t>Д.МЕДВЕДЕВ</w:t>
      </w:r>
    </w:p>
    <w:p w:rsidR="00E75BE9" w:rsidRPr="00597B70" w:rsidRDefault="00E75BE9">
      <w:pPr>
        <w:pStyle w:val="ConsPlusNormal"/>
        <w:jc w:val="right"/>
      </w:pPr>
    </w:p>
    <w:p w:rsidR="00E75BE9" w:rsidRPr="00597B70" w:rsidRDefault="00E75BE9">
      <w:pPr>
        <w:pStyle w:val="ConsPlusNormal"/>
        <w:jc w:val="right"/>
      </w:pPr>
    </w:p>
    <w:p w:rsidR="00E75BE9" w:rsidRPr="00597B70" w:rsidRDefault="00E75BE9">
      <w:pPr>
        <w:pStyle w:val="ConsPlusNormal"/>
        <w:jc w:val="right"/>
      </w:pPr>
    </w:p>
    <w:p w:rsidR="00E75BE9" w:rsidRPr="00597B70" w:rsidRDefault="00E75BE9">
      <w:pPr>
        <w:pStyle w:val="ConsPlusNormal"/>
        <w:jc w:val="right"/>
      </w:pPr>
    </w:p>
    <w:p w:rsidR="00E75BE9" w:rsidRPr="00597B70" w:rsidRDefault="00E75BE9">
      <w:pPr>
        <w:pStyle w:val="ConsPlusNormal"/>
        <w:jc w:val="right"/>
      </w:pPr>
    </w:p>
    <w:p w:rsidR="00E75BE9" w:rsidRPr="00597B70" w:rsidRDefault="00E75BE9">
      <w:pPr>
        <w:pStyle w:val="ConsPlusNormal"/>
        <w:jc w:val="right"/>
      </w:pPr>
      <w:r w:rsidRPr="00597B70">
        <w:t>Утверждены</w:t>
      </w:r>
    </w:p>
    <w:p w:rsidR="00E75BE9" w:rsidRPr="00597B70" w:rsidRDefault="00E75BE9">
      <w:pPr>
        <w:pStyle w:val="ConsPlusNormal"/>
        <w:jc w:val="right"/>
      </w:pPr>
      <w:r w:rsidRPr="00597B70">
        <w:t>распоряжением Правительства</w:t>
      </w:r>
    </w:p>
    <w:p w:rsidR="00E75BE9" w:rsidRPr="00597B70" w:rsidRDefault="00E75BE9">
      <w:pPr>
        <w:pStyle w:val="ConsPlusNormal"/>
        <w:jc w:val="right"/>
      </w:pPr>
      <w:r w:rsidRPr="00597B70">
        <w:t>Российской Федерации</w:t>
      </w:r>
    </w:p>
    <w:p w:rsidR="00E75BE9" w:rsidRPr="00597B70" w:rsidRDefault="00E75BE9">
      <w:pPr>
        <w:pStyle w:val="ConsPlusNormal"/>
        <w:jc w:val="right"/>
      </w:pPr>
      <w:r w:rsidRPr="00597B70">
        <w:t>от 29 ноября 2014 г. N 2403-р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Title"/>
        <w:jc w:val="center"/>
      </w:pPr>
      <w:bookmarkStart w:id="1" w:name="P29"/>
      <w:bookmarkEnd w:id="1"/>
      <w:r w:rsidRPr="00597B70">
        <w:t>ОСНОВЫ</w:t>
      </w:r>
    </w:p>
    <w:p w:rsidR="00E75BE9" w:rsidRPr="00597B70" w:rsidRDefault="00E75BE9">
      <w:pPr>
        <w:pStyle w:val="ConsPlusTitle"/>
        <w:jc w:val="center"/>
      </w:pPr>
      <w:r w:rsidRPr="00597B70">
        <w:t>ГОСУДАРСТВЕННОЙ МОЛОДЕЖНОЙ ПОЛИТИКИ РОССИЙСКОЙ ФЕДЕРАЦИИ</w:t>
      </w:r>
    </w:p>
    <w:p w:rsidR="00E75BE9" w:rsidRPr="00597B70" w:rsidRDefault="00E75BE9">
      <w:pPr>
        <w:pStyle w:val="ConsPlusTitle"/>
        <w:jc w:val="center"/>
      </w:pPr>
      <w:r w:rsidRPr="00597B70">
        <w:t>НА ПЕРИОД ДО 2025 ГОДА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jc w:val="center"/>
      </w:pPr>
      <w:r w:rsidRPr="00597B70">
        <w:t>I. Общие положения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1. Настоящий документ определяет систему принципов, приоритетных задач и механизмов, обеспечивающих реализацию </w:t>
      </w:r>
      <w:hyperlink r:id="rId8" w:history="1">
        <w:r w:rsidRPr="00597B70">
          <w:t>государственной молодежной политики</w:t>
        </w:r>
      </w:hyperlink>
      <w:r w:rsidRPr="00597B70">
        <w:t>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2. Используемые в настоящем документе термины означают следующее: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</w:t>
      </w:r>
      <w:r w:rsidRPr="00597B70">
        <w:lastRenderedPageBreak/>
        <w:t>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3. Настоящий документ разработан на основе </w:t>
      </w:r>
      <w:hyperlink r:id="rId9" w:history="1">
        <w:r w:rsidRPr="00597B70">
          <w:t>Конституции</w:t>
        </w:r>
      </w:hyperlink>
      <w:r w:rsidRPr="00597B70"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4. Глобальные тенденции убедительно доказывают, что стратегические преимущества будут </w:t>
      </w:r>
      <w:r w:rsidRPr="00597B70">
        <w:lastRenderedPageBreak/>
        <w:t>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 2014 году в Российской Федерации проживают 33,22 миллиона граждан в возрасте от 14 до 30 лет.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 Интересы и потребности молодежи учитываются при реализации программ социально-экономического развития.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безработицы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</w:t>
      </w:r>
      <w:r w:rsidRPr="00597B70">
        <w:lastRenderedPageBreak/>
        <w:t>социальной активности.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jc w:val="center"/>
      </w:pPr>
      <w:r w:rsidRPr="00597B70">
        <w:t>II. Основные принципы реализации государственной</w:t>
      </w:r>
    </w:p>
    <w:p w:rsidR="00E75BE9" w:rsidRPr="00597B70" w:rsidRDefault="00E75BE9">
      <w:pPr>
        <w:pStyle w:val="ConsPlusNormal"/>
        <w:jc w:val="center"/>
      </w:pPr>
      <w:r w:rsidRPr="00597B70">
        <w:t>молодежной политики</w:t>
      </w: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ind w:firstLine="540"/>
        <w:jc w:val="both"/>
      </w:pPr>
      <w:r w:rsidRPr="00597B70">
        <w:t>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ответственность государства за соблюдение законных интересов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признание молодежи равноправным партнером в формировании и реализации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приоритетность государственной поддержки социально незащищенных молодых граждан;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е) поддержка деятельности молодежных общественных объединений и организаций;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ж) развитие государственно-частного партнерства и взаимодействия с социальными институтами общества;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к) взаимодействие различных ведомств при реализации стратегий и программ в части, касающейся молодежной политики.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jc w:val="center"/>
      </w:pPr>
      <w:r w:rsidRPr="00597B70">
        <w:t>III. Цели и приоритетные задачи государственной</w:t>
      </w:r>
    </w:p>
    <w:p w:rsidR="00E75BE9" w:rsidRPr="00597B70" w:rsidRDefault="00E75BE9">
      <w:pPr>
        <w:pStyle w:val="ConsPlusNormal"/>
        <w:jc w:val="center"/>
      </w:pPr>
      <w:r w:rsidRPr="00597B70">
        <w:t>молодежной политики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ind w:firstLine="540"/>
        <w:jc w:val="both"/>
      </w:pPr>
      <w:r w:rsidRPr="00597B70">
        <w:t>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7. Для достижения целей государственной молодежной политики необходимо решить следующие приоритетные задачи: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популяризация в молодежной среде литературного русского языка, а также культурных и национальных традиций;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популяризация людей, достигших выдающихся успехов в своей профессиональной деятельности;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повышение доступности молодежного туризма и развитие его инфраструктуры;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гуманитарного и правового просвещения молодежи, повышение уровня финансовой грамотности;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совершенствование системы поощрения и мотивации талантливой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совершенствование условий для инклюзивного образования молодых людей с ограниченными возможностями здоровья;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системы сертификации знаний и компетенций, полученных в том числе путем самообразования;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вовлечение молодежи в регулярные занятия физической культурой и спортом, в том числе техническими видами спорта;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вовлечение молодежи в пропаганду здорового образа жизни;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совершенствование системы студенческих соревнований и развитие студенческого спорта;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совершенствование ежегодной диспансеризации студентов, а также организации оздоровления и санаторно-курортного отдыха;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 xml:space="preserve">создание условий для развития </w:t>
      </w:r>
      <w:proofErr w:type="spellStart"/>
      <w:r w:rsidRPr="00597B70">
        <w:t>профориентационной</w:t>
      </w:r>
      <w:proofErr w:type="spellEnd"/>
      <w:r w:rsidRPr="00597B70">
        <w:t xml:space="preserve"> работы среди молодежи и построение эффективной траектории профессионального развития;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моделей адресной помощи молодежи, оказавшейся в трудной жизненной ситуации;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формирование системы поддержки молодежной добровольческой (волонтерской) деятельности;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воспитание в молодежной среде позитивного отношения к семье и браку;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для стимулирования рождения второго и последующих детей, а также для развития семейных форм воспитания;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jc w:val="center"/>
      </w:pPr>
      <w:r w:rsidRPr="00597B70">
        <w:t>IV. Механизмы реализации государственной</w:t>
      </w:r>
    </w:p>
    <w:p w:rsidR="00E75BE9" w:rsidRPr="00597B70" w:rsidRDefault="00E75BE9">
      <w:pPr>
        <w:pStyle w:val="ConsPlusNormal"/>
        <w:jc w:val="center"/>
      </w:pPr>
      <w:r w:rsidRPr="00597B70">
        <w:t>молодежной политики</w:t>
      </w:r>
    </w:p>
    <w:p w:rsidR="00E75BE9" w:rsidRPr="00597B70" w:rsidRDefault="00E75BE9">
      <w:pPr>
        <w:pStyle w:val="ConsPlusNormal"/>
        <w:jc w:val="center"/>
      </w:pPr>
    </w:p>
    <w:p w:rsidR="00E75BE9" w:rsidRPr="00597B70" w:rsidRDefault="00E75BE9">
      <w:pPr>
        <w:pStyle w:val="ConsPlusNormal"/>
        <w:ind w:firstLine="540"/>
        <w:jc w:val="both"/>
      </w:pPr>
      <w:r w:rsidRPr="00597B70">
        <w:t>8. Правовыми механизмами реализации государственной молодежной политики являются: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совершенствование законодательства субъектов Российской Федерации;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развитие механизмов межведомственного взаимодействия по вопросам реализации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развитие системы государственно-частного партнерства в целях вовлечения в реализацию государственной молодежной политики бизнес-сообщества, общественных объединений и граждан;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9. Организационными механизмами реализации государственной молодежной политики являются: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создание консультативных, совещательных и координационных органов по вопросам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10. Информационными механизмами реализации государственной молодежной политики являются: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11. Научно-аналитическими механизмами реализации государственной молодежной политики являются: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расширение практики системных научных исследований по проблемам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формирование системы общественного контроля за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12. Социальными механизмами реализации государственной молодежной политики являются: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б) развитие форм и методов социальной работы с молодежью, способствующих улучшению положения различных категорий молодежи;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E75BE9" w:rsidRPr="00597B70" w:rsidRDefault="00E75BE9">
      <w:pPr>
        <w:pStyle w:val="ConsPlusNormal"/>
        <w:ind w:firstLine="540"/>
        <w:jc w:val="both"/>
      </w:pPr>
      <w:r w:rsidRPr="00597B70">
        <w:t>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всех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ind w:firstLine="540"/>
        <w:jc w:val="both"/>
      </w:pPr>
    </w:p>
    <w:p w:rsidR="00E75BE9" w:rsidRPr="00597B70" w:rsidRDefault="00E75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74D" w:rsidRPr="00597B70" w:rsidRDefault="00AD374D"/>
    <w:sectPr w:rsidR="00AD374D" w:rsidRPr="00597B70" w:rsidSect="008D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9"/>
    <w:rsid w:val="00597B70"/>
    <w:rsid w:val="00AD374D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45BF-E360-4F2A-B35A-012279F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080AE4FEE16D3640E00F8ED9DA4911C6120874FAD8506599042DEB42F79A18F02E30EE6B8W1X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080AE4FEE16D3640E00F8ED9DA4911768278A41F08F0E009C40D9WBX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080AE4FEE16D3640E00F8ED9DA4911768278A47F08F0E009C40D9WBX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D080AE4FEE16D3640E00F8ED9DA4911768278A46F08F0E009C40D9WBX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D080AE4FEE16D3640E00F8ED9DA4911768258F42F08F0E009C40D9WBXBG" TargetMode="External"/><Relationship Id="rId9" Type="http://schemas.openxmlformats.org/officeDocument/2006/relationships/hyperlink" Target="consultantplus://offline/ref=02D080AE4FEE16D3640E00F8ED9DA4911C68248A4FAD8506599042WD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User</cp:lastModifiedBy>
  <cp:revision>2</cp:revision>
  <dcterms:created xsi:type="dcterms:W3CDTF">2016-02-04T06:23:00Z</dcterms:created>
  <dcterms:modified xsi:type="dcterms:W3CDTF">2017-12-25T08:11:00Z</dcterms:modified>
</cp:coreProperties>
</file>